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CBA" w:rsidRPr="00AA4CBA" w:rsidRDefault="00727FF6" w:rsidP="00AA4CBA">
      <w:pPr>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Тақырып  </w:t>
      </w:r>
      <w:r w:rsidR="00AA4CBA" w:rsidRPr="00AA4CBA">
        <w:rPr>
          <w:rFonts w:ascii="Times New Roman" w:hAnsi="Times New Roman" w:cs="Times New Roman"/>
          <w:b/>
          <w:sz w:val="24"/>
          <w:szCs w:val="24"/>
          <w:lang w:val="kk-KZ"/>
        </w:rPr>
        <w:t xml:space="preserve">3 </w:t>
      </w:r>
      <w:r w:rsidR="00AA4CBA" w:rsidRPr="00AA4CBA">
        <w:rPr>
          <w:rFonts w:ascii="Times New Roman" w:hAnsi="Times New Roman" w:cs="Times New Roman"/>
          <w:sz w:val="24"/>
          <w:szCs w:val="24"/>
          <w:lang w:val="kk-KZ"/>
        </w:rPr>
        <w:t xml:space="preserve"> </w:t>
      </w:r>
      <w:r w:rsidR="00AA4CBA" w:rsidRPr="00AA4CBA">
        <w:rPr>
          <w:rFonts w:ascii="Times New Roman" w:hAnsi="Times New Roman" w:cs="Times New Roman"/>
          <w:b/>
          <w:sz w:val="24"/>
          <w:szCs w:val="24"/>
          <w:lang w:val="kk-KZ"/>
        </w:rPr>
        <w:t>Жобалаудың</w:t>
      </w:r>
      <w:r w:rsidR="00B70345">
        <w:rPr>
          <w:rFonts w:ascii="Times New Roman" w:hAnsi="Times New Roman" w:cs="Times New Roman"/>
          <w:b/>
          <w:sz w:val="24"/>
          <w:szCs w:val="24"/>
          <w:lang w:val="kk-KZ"/>
        </w:rPr>
        <w:t xml:space="preserve"> және болжаудың</w:t>
      </w:r>
      <w:r w:rsidR="00AA4CBA" w:rsidRPr="00AA4CBA">
        <w:rPr>
          <w:rFonts w:ascii="Times New Roman" w:hAnsi="Times New Roman" w:cs="Times New Roman"/>
          <w:b/>
          <w:sz w:val="24"/>
          <w:szCs w:val="24"/>
          <w:lang w:val="kk-KZ"/>
        </w:rPr>
        <w:t xml:space="preserve"> әдістері</w:t>
      </w:r>
    </w:p>
    <w:p w:rsidR="00AA4CBA" w:rsidRPr="00AA4CBA" w:rsidRDefault="00AA4CBA" w:rsidP="00AA4CBA">
      <w:pPr>
        <w:jc w:val="both"/>
        <w:rPr>
          <w:rFonts w:ascii="Times New Roman" w:hAnsi="Times New Roman" w:cs="Times New Roman"/>
          <w:sz w:val="24"/>
          <w:szCs w:val="24"/>
          <w:lang w:val="kk-KZ"/>
        </w:rPr>
      </w:pPr>
    </w:p>
    <w:p w:rsidR="00AA4CBA" w:rsidRPr="00AA4CBA" w:rsidRDefault="00AA4CBA" w:rsidP="00AA4CBA">
      <w:pPr>
        <w:jc w:val="both"/>
        <w:rPr>
          <w:rFonts w:ascii="Times New Roman" w:hAnsi="Times New Roman" w:cs="Times New Roman"/>
          <w:sz w:val="24"/>
          <w:szCs w:val="24"/>
          <w:lang w:val="kk-KZ"/>
        </w:rPr>
      </w:pPr>
      <w:r w:rsidRPr="00AA4CBA">
        <w:rPr>
          <w:rFonts w:ascii="Times New Roman" w:hAnsi="Times New Roman" w:cs="Times New Roman"/>
          <w:b/>
          <w:sz w:val="24"/>
          <w:szCs w:val="24"/>
          <w:lang w:val="kk-KZ"/>
        </w:rPr>
        <w:t xml:space="preserve">Дәріс мақсаты: </w:t>
      </w:r>
      <w:r w:rsidRPr="00AA4CBA">
        <w:rPr>
          <w:rFonts w:ascii="Times New Roman" w:hAnsi="Times New Roman" w:cs="Times New Roman"/>
          <w:sz w:val="24"/>
          <w:szCs w:val="24"/>
          <w:lang w:val="kk-KZ"/>
        </w:rPr>
        <w:t>Жоспарлау жүйесін оқып зерттеу, жобалау</w:t>
      </w:r>
      <w:r w:rsidR="00B70345">
        <w:rPr>
          <w:rFonts w:ascii="Times New Roman" w:hAnsi="Times New Roman" w:cs="Times New Roman"/>
          <w:sz w:val="24"/>
          <w:szCs w:val="24"/>
          <w:lang w:val="kk-KZ"/>
        </w:rPr>
        <w:t>дың және болжаудың</w:t>
      </w:r>
      <w:r w:rsidRPr="00AA4CBA">
        <w:rPr>
          <w:rFonts w:ascii="Times New Roman" w:hAnsi="Times New Roman" w:cs="Times New Roman"/>
          <w:sz w:val="24"/>
          <w:szCs w:val="24"/>
          <w:lang w:val="kk-KZ"/>
        </w:rPr>
        <w:t xml:space="preserve"> әдістерін игеру.</w:t>
      </w:r>
    </w:p>
    <w:p w:rsidR="00AA4CBA" w:rsidRPr="00AA4CBA" w:rsidRDefault="00AA4CBA" w:rsidP="00AA4CBA">
      <w:pPr>
        <w:jc w:val="both"/>
        <w:rPr>
          <w:rFonts w:ascii="Times New Roman" w:hAnsi="Times New Roman" w:cs="Times New Roman"/>
          <w:b/>
          <w:sz w:val="24"/>
          <w:szCs w:val="24"/>
          <w:lang w:val="kk-KZ"/>
        </w:rPr>
      </w:pPr>
      <w:r w:rsidRPr="00AA4CBA">
        <w:rPr>
          <w:rFonts w:ascii="Times New Roman" w:hAnsi="Times New Roman" w:cs="Times New Roman"/>
          <w:b/>
          <w:sz w:val="24"/>
          <w:szCs w:val="24"/>
          <w:lang w:val="kk-KZ"/>
        </w:rPr>
        <w:tab/>
      </w:r>
    </w:p>
    <w:p w:rsidR="00AA4CBA" w:rsidRPr="00AA4CBA" w:rsidRDefault="00AA4CBA" w:rsidP="00AA4CBA">
      <w:pPr>
        <w:rPr>
          <w:rFonts w:ascii="Times New Roman" w:hAnsi="Times New Roman" w:cs="Times New Roman"/>
          <w:b/>
          <w:sz w:val="24"/>
          <w:szCs w:val="24"/>
          <w:lang w:val="kk-KZ"/>
        </w:rPr>
      </w:pPr>
      <w:r w:rsidRPr="00AA4CBA">
        <w:rPr>
          <w:rFonts w:ascii="Times New Roman" w:hAnsi="Times New Roman" w:cs="Times New Roman"/>
          <w:b/>
          <w:sz w:val="24"/>
          <w:szCs w:val="24"/>
          <w:lang w:val="kk-KZ"/>
        </w:rPr>
        <w:t>Дәріс жоспары:</w:t>
      </w:r>
    </w:p>
    <w:p w:rsidR="00AA4CBA" w:rsidRPr="00AA4CBA" w:rsidRDefault="00AA4CBA" w:rsidP="00AA4CBA">
      <w:pPr>
        <w:jc w:val="both"/>
        <w:rPr>
          <w:rFonts w:ascii="Times New Roman" w:hAnsi="Times New Roman" w:cs="Times New Roman"/>
          <w:sz w:val="24"/>
          <w:szCs w:val="24"/>
          <w:lang w:val="kk-KZ"/>
        </w:rPr>
      </w:pPr>
      <w:r w:rsidRPr="00AA4CBA">
        <w:rPr>
          <w:rFonts w:ascii="Times New Roman" w:hAnsi="Times New Roman" w:cs="Times New Roman"/>
          <w:b/>
          <w:sz w:val="24"/>
          <w:szCs w:val="24"/>
          <w:lang w:val="kk-KZ"/>
        </w:rPr>
        <w:tab/>
      </w:r>
      <w:r w:rsidR="00B6059E">
        <w:rPr>
          <w:rFonts w:ascii="Times New Roman" w:hAnsi="Times New Roman" w:cs="Times New Roman"/>
          <w:sz w:val="24"/>
          <w:szCs w:val="24"/>
          <w:lang w:val="kk-KZ"/>
        </w:rPr>
        <w:t>1</w:t>
      </w:r>
      <w:r w:rsidR="00B70345">
        <w:rPr>
          <w:rFonts w:ascii="Times New Roman" w:hAnsi="Times New Roman" w:cs="Times New Roman"/>
          <w:sz w:val="24"/>
          <w:szCs w:val="24"/>
          <w:lang w:val="kk-KZ"/>
        </w:rPr>
        <w:t>. Болжамның типтері</w:t>
      </w:r>
      <w:r w:rsidRPr="00AA4CBA">
        <w:rPr>
          <w:rFonts w:ascii="Times New Roman" w:hAnsi="Times New Roman" w:cs="Times New Roman"/>
          <w:sz w:val="24"/>
          <w:szCs w:val="24"/>
          <w:lang w:val="kk-KZ"/>
        </w:rPr>
        <w:t>.</w:t>
      </w:r>
    </w:p>
    <w:p w:rsidR="00AA4CBA" w:rsidRPr="00AA4CBA" w:rsidRDefault="00B6059E" w:rsidP="00B6059E">
      <w:pPr>
        <w:jc w:val="both"/>
        <w:rPr>
          <w:rFonts w:ascii="Times New Roman" w:hAnsi="Times New Roman" w:cs="Times New Roman"/>
          <w:sz w:val="24"/>
          <w:szCs w:val="24"/>
          <w:lang w:val="kk-KZ"/>
        </w:rPr>
      </w:pPr>
      <w:r>
        <w:rPr>
          <w:rFonts w:ascii="Times New Roman" w:hAnsi="Times New Roman" w:cs="Times New Roman"/>
          <w:sz w:val="24"/>
          <w:szCs w:val="24"/>
          <w:lang w:val="kk-KZ"/>
        </w:rPr>
        <w:tab/>
        <w:t>2</w:t>
      </w:r>
      <w:r w:rsidR="00AA4CBA" w:rsidRPr="00AA4CBA">
        <w:rPr>
          <w:rFonts w:ascii="Times New Roman" w:hAnsi="Times New Roman" w:cs="Times New Roman"/>
          <w:sz w:val="24"/>
          <w:szCs w:val="24"/>
          <w:lang w:val="kk-KZ"/>
        </w:rPr>
        <w:t xml:space="preserve">. </w:t>
      </w:r>
      <w:r w:rsidR="00B70345">
        <w:rPr>
          <w:rFonts w:ascii="Times New Roman" w:hAnsi="Times New Roman" w:cs="Times New Roman"/>
          <w:sz w:val="24"/>
          <w:szCs w:val="24"/>
          <w:lang w:val="kk-KZ"/>
        </w:rPr>
        <w:t xml:space="preserve">Болжамның </w:t>
      </w:r>
      <w:r w:rsidR="00B70345" w:rsidRPr="00AA4CBA">
        <w:rPr>
          <w:rFonts w:ascii="Times New Roman" w:hAnsi="Times New Roman" w:cs="Times New Roman"/>
          <w:sz w:val="24"/>
          <w:szCs w:val="24"/>
          <w:lang w:val="kk-KZ"/>
        </w:rPr>
        <w:t xml:space="preserve"> түрлері</w:t>
      </w:r>
    </w:p>
    <w:p w:rsidR="00AA4CBA" w:rsidRPr="00AA4CBA" w:rsidRDefault="00AA4CBA" w:rsidP="00B6059E">
      <w:pPr>
        <w:jc w:val="both"/>
        <w:rPr>
          <w:rFonts w:ascii="Times New Roman" w:hAnsi="Times New Roman" w:cs="Times New Roman"/>
          <w:sz w:val="24"/>
          <w:szCs w:val="24"/>
          <w:lang w:val="kk-KZ"/>
        </w:rPr>
      </w:pP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Болжау типологиясының негізгі белгілері мыналар: болжау көлемі, бекітілген мерзімі, нысанның сипаты, жобалаудың қызметі.</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Болжау көлеміне қарай былайша айқындалады: макроэкономикалық (халық шаруашылығы) және құрылымдық (салалық және аймақтық) жобалар, халық шаруашылығының кешендерінің (отын-энергетикалық, агроөнеркәсіптік, инвестициялық, өндіріс инфрақұрылымы, халыққа қызмет көрсету, т.б.) дамуын болжау, салалық және аймақтық болжау, халық шаруашылығының негізін құраушы кәсіпорындар мен өндірістік бірлестіктердің жұмысын болжау, сонымен қатар жекелеген өндірістер мен қызметтерді болжау.</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 xml:space="preserve">Мерзіміне қарай жобалау: қауырт, қысқа мерзімді, орта мерзімді, ұзақ мерзімді болып бөлінеді. Қауырт жобалау - бір айға дейін, қысқа мерзімді - бір айдан бір жылға дейін, орта мерзімді - екі жылдан бес жылға дейін, ұзақ мерзімді- бес жылдан 15-20 жылға дейінгі уақытты қамтиды. </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Аталған болжаулар бір-бірінен өздері зерттейтін процестердің мазмұны мен сипатына қарай да ерекшеленеді. Қауырт жобалау зерттейтін нысанда күрделі сандық және сапалық өзгерістердің болмауына негізделеді. Оларда күтілетін жағдайларға тән нақтылы сандық бағалар басым болады. Қысқа мерзім болжауларда күтілетін жағдайлардың тек сандық өзгерістері ескеріледі. Орта және ұзақ мерзімді болжауларда зерттелетің нысаның сандық та, сапалық та өзгерістері есепке алынады. Орта мерзімді жобалауларда жағдайлар - сандық-сапалық, ұзақ мерзімді сандық-сапалық түрде бағаланады.</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 xml:space="preserve">Зерттелетің нысанның сипатына сай болжауды бөлу үдемелі процестің түрлі аспектісіне байланысты. Осы белгілеріне қарай халық шаруашылығын болжаудың мынадай түрлері айқындалады: өндірістік қарама-қатынастардың дамуы, әлеуметтік-экономикалық алғышарттар және ғылыми-техникалық прогрестің салдарлары, халық шаруашылығың дамуы, оның қарқыны, факторлары мен құрылымдық өзгерістері, еңбек ресурстарының өзгерістері, табиғи ресурстарды тиімді пайдалану, негізгі қорлар мен күрделі салымдардың айналымы, тұрғындардың өмір сүру деңгейі, қаржыландыру, табыс пен бағалардың өзгерісі, сыртқы экономикалық байланыс динамикасы және т.б. Аталған </w:t>
      </w:r>
      <w:r w:rsidRPr="00AA4CBA">
        <w:rPr>
          <w:rFonts w:ascii="Times New Roman" w:hAnsi="Times New Roman" w:cs="Times New Roman"/>
          <w:color w:val="000000"/>
          <w:sz w:val="24"/>
          <w:szCs w:val="24"/>
          <w:lang w:val="kk-KZ"/>
        </w:rPr>
        <w:lastRenderedPageBreak/>
        <w:t>бағыттардың әрқайсысының мәні мәні бар және өз негіздерінде дами алады. Сонымен бірге олардың арасында методологиялық байланыс және бірлік орныққан, ол халық шаруашылығының болжаудың ғылыми сапасын қамтамассыз етеді.</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Экономикалық және әлеуметтік болжамдар жүйесі өндіргіш күштер мен өндірістік қатынастардың біртұтас жобасын қалыптастырады. Оның құрамына табиғи, өндірістік және еңбек ресурстары, олардың құрамы мен тиімді пайдалану жолдары, демографиялық процестің жай-күйі және халықтың тұрмыс дәрежесін көтеру бағыттары, өндірістегі құрылымдық өзгерістер мен экономикалық даму қарқыны, ғылыми-техникалық прогрестің жетістіктерің игеру, халық шаруашылығын басқару, экономикалық механизм әдістерің жетілдіру, әлемдік экономика мен сыртқы экономикалық байланыстар және мемлекет деңгейінде шешілетің тағы басқа мәселелер кіреді.</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Өз кезегінде экономикалық және әлеуметтік болжамдар жобалау мен жоспарлаудың, т.б қоғамдық процестердің ажырамас бір бөлігі болып табылады.</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Атқаратын қызметіне қарай болжамдар екіге (екі типке) бөлінеді: ізденістік және нормативтік.</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Біріншісі- ізденістік болжам, ол оқиғаның себеп-салдарын анықтап, оның байлнысын, өзгерісін айқындау негізінде болашақтағы құбылыстардың өзгерістерін білдіреді.</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 xml:space="preserve">Екіншісі- нормативттік (мақсатты). Мұның біріншіден айырмашылығы - ең алдымен мақсат (ориентир) белгіленіп алынады. Процестер келешектен бүгінгі күнге үңілу бағытында зерттеліп, болашаққа қандай өзгерістерболады және көздеген нәтижеге жету үшін не істеу керек деген сауалдар негізге алынады. </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Ізденістік болжам зерттелетін нысанның даму тенденциясының келешегін шартты түрде қарастыруға негізделген, ол аталған тенденцияларды өзгертуге қабілетті шарттардан бас тартады. Оның мақсаты - зерттліп отырған нысанның қазіргі тенденцияларға сәйкес қалай дамитындығын анықтау.</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Нормативитік болжамның ізденістік болжамнан айырмашылығы - ол алдын ала анықталған мақсаттар негізінде жасалады. Оның міндеті - нысанның келешекте жететің нәтижесінің жолдары мен мерзімін болжап, мақсатын айқындау. Аталған болжамның түрлері практикада белгілі бағыт ретінде бір уақытта, бірге қолданады.</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 xml:space="preserve">Болжамдардың жүзеге асуына жоба бойынша шешім қабылдау әрекеті әсер етеді. Шешім әр қашан да жобалау мәліметтерінің негізінде қабылданады. Өз кезегінде шешім қабылдау болжамды жүзеге асырудың нәтижесіне ықпал етеді. </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Негізінде болжам түрлі дәрежеде, кез келген аймақ, түрлі өндіріс, сала, проблемалар, т.б. бойынша жасалуы мүмкін. Ең нәтижелісі - жеке болжамдардан «пирамида» құру арқылы экономиканы дамытудың жалпы болжамын жасау. Өз ара әсер ететін, бір-біріне байланысты жобалардың мынадай «пирамидаларын» жасауға болады:</w:t>
      </w:r>
    </w:p>
    <w:p w:rsidR="00AA4CBA" w:rsidRPr="00AA4CBA" w:rsidRDefault="00AA4CBA" w:rsidP="00AA4CBA">
      <w:pPr>
        <w:numPr>
          <w:ilvl w:val="0"/>
          <w:numId w:val="5"/>
        </w:numPr>
        <w:spacing w:after="0" w:line="240" w:lineRule="auto"/>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lastRenderedPageBreak/>
        <w:t>Проблемалық. Ол – басқарушы органдар шешімін жүзеге асырудың нәтижесіне немесе мемлекетте жүзеге асырылуға тиісті не болуы мүмкін белгілі оқиғалардан туындайтын жалпы мемлекеттік проблемаларға байланысты жоба.</w:t>
      </w:r>
    </w:p>
    <w:p w:rsidR="00AA4CBA" w:rsidRPr="00AA4CBA" w:rsidRDefault="00AA4CBA" w:rsidP="00AA4CBA">
      <w:pPr>
        <w:numPr>
          <w:ilvl w:val="0"/>
          <w:numId w:val="5"/>
        </w:numPr>
        <w:spacing w:after="0" w:line="240" w:lineRule="auto"/>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Функционалдық. Бұл – саяси-әлеуметті, өндірістің жеке салаларының дамуы, ғылыми-техникалық, сыртқы экономикалық, экологиялық болжамдардың жиынтығы арқылы бүкіл мемлекет экономикасының дамуына қажет болжамдар.</w:t>
      </w:r>
    </w:p>
    <w:p w:rsidR="00AA4CBA" w:rsidRPr="00AA4CBA" w:rsidRDefault="00AA4CBA" w:rsidP="00AA4CBA">
      <w:pPr>
        <w:numPr>
          <w:ilvl w:val="0"/>
          <w:numId w:val="5"/>
        </w:numPr>
        <w:spacing w:after="0" w:line="240" w:lineRule="auto"/>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 xml:space="preserve">Ұйымдастырушылық. Аймақтық, басқарушы және өндірістік құрылымдар дамуының болжамдарынан тұратын бұл жоба мемлекет экономикасыдамуының жобасымен ұласады. </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Экономикалық әдебиеттерден өткен ғасырдың 20-жылдарының ірі экономист ғалымы Н.Д. Кондратьевтің тұжырымдамасы белгілі. Онда болжамдар мен болжамдық бағаларға негізделген жоспарлар кешені жасалған. Мұнда болжамның үш түрі бөлініп көрсетіледі. Бұл болжамдар классификациясында белгілі бір жағдайларға сәйкес оқиғалардың ретті түрде қайталануы негізге алынған. Ол, бір жағынан, ықтималдықтар теориясы мен болжамдардың бір-біріне әрекет ету факторы, екінші жағынан, статистикалық, яғни нақты мәліметтермен байланысты фактор болып табылады.</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b/>
          <w:color w:val="000000"/>
          <w:sz w:val="24"/>
          <w:szCs w:val="24"/>
          <w:lang w:val="kk-KZ"/>
        </w:rPr>
        <w:t xml:space="preserve">Бірінші түрі – </w:t>
      </w:r>
      <w:r w:rsidRPr="00AA4CBA">
        <w:rPr>
          <w:rFonts w:ascii="Times New Roman" w:hAnsi="Times New Roman" w:cs="Times New Roman"/>
          <w:color w:val="000000"/>
          <w:sz w:val="24"/>
          <w:szCs w:val="24"/>
          <w:lang w:val="kk-KZ"/>
        </w:rPr>
        <w:t>берілген белгілі бір ақпараттар мен білімнің дәрежесіне сәйкес қайталанып отыратын оқиғаларды білдіреді. Басқаша айтқанда, олар бір реттік қана, белгілі бір заңдар мен заңдылықтар қатарына кірмейді.</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b/>
          <w:color w:val="000000"/>
          <w:sz w:val="24"/>
          <w:szCs w:val="24"/>
          <w:lang w:val="kk-KZ"/>
        </w:rPr>
        <w:t xml:space="preserve">Екінші түрі – </w:t>
      </w:r>
      <w:r w:rsidRPr="00AA4CBA">
        <w:rPr>
          <w:rFonts w:ascii="Times New Roman" w:hAnsi="Times New Roman" w:cs="Times New Roman"/>
          <w:color w:val="000000"/>
          <w:sz w:val="24"/>
          <w:szCs w:val="24"/>
          <w:lang w:val="kk-KZ"/>
        </w:rPr>
        <w:t xml:space="preserve">қайталанып отыратын оқиғаларды, яғни конъюктураның (жағдайдың) белгілі мерзімге сай ауытқуына байланысты капиталистік экономикалық кризистер мен құбылыстардың болып отыруын алдын ала көре білу. Бұл – болжамның біріншіден айырмашылығы – нақты сандық форма қабылданбайды, ол белгілі бір уақытта өзгерістің болу және болмау мүмкіндігін, яғни жүйелі түрде болып тұратын оқиғаларды көрсетеді, сондықтан ол біріншіге қарағанда болжамның қарапайым түрі болып табылады. </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b/>
          <w:color w:val="000000"/>
          <w:sz w:val="24"/>
          <w:szCs w:val="24"/>
          <w:lang w:val="kk-KZ"/>
        </w:rPr>
        <w:t xml:space="preserve">Үшінші түрі - </w:t>
      </w:r>
      <w:r w:rsidRPr="00AA4CBA">
        <w:rPr>
          <w:rFonts w:ascii="Times New Roman" w:hAnsi="Times New Roman" w:cs="Times New Roman"/>
          <w:color w:val="000000"/>
          <w:sz w:val="24"/>
          <w:szCs w:val="24"/>
          <w:lang w:val="kk-KZ"/>
        </w:rPr>
        <w:t>әлеуметтік-экономикалық тенденциялардың жалпы нұсқасын (контурын) ғана болжай білу. Ол оқиғанаң нақты анықтамасын да, сандық формасын білдірмейді.</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Н.Д. Кондратьевтің пікірінше, болашақты болжай білу, әсіресе оқиғаның нақты датасы мен сандық мәнін дәлме-дәл көрсету мүмкіндігі өте шектеулі.</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 xml:space="preserve">Ғалымның есептеуінше, жоспарды дұрыс құру үшін болжамның үш түрін де пайдалану қажет. Жалпы дәрежеде даму тенденциясының мүмкіндігі есепке алынған кезде болжамның үшінші типі қолданылады. Бағаның өзгеру (жоғарылауы не төмендеуі) мүмкіндігін, еңбек өнімділігінің өсуі мен халық шаруашылығының тиімділігін анықтағанда болжамның екінші түрі қолданылады. Ең соныңында, жиірек кездесетін болжамның бірінші типін жүзеге асыру белгілі мерзімде өндіріс көлемінің өсуін, тұрғындардың салымын, бағаның өсуі не төмендеуін нақты сандық формада көрсетуге мүмкіндік береді. </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 xml:space="preserve">Біздің еліміздің тарихында бірінші рет Республика Президентінің басшылығымен 1997 жылғы қазан айында қоғам мен экономиканың 2030 жылға дейінгі даму тенденциясының ғылыми болжамы жасалып, баспасөзде жарияланды. «Қазақстан-2030» стратегиясы - гүлденудің, қауіпсіздікті сақтаудың және бүкіл қазақстандықтардың әл-ауқатын жақсартудың тура жолы, қоғамның даму идиологиясының негізі. Онда </w:t>
      </w:r>
      <w:r w:rsidRPr="00AA4CBA">
        <w:rPr>
          <w:rFonts w:ascii="Times New Roman" w:hAnsi="Times New Roman" w:cs="Times New Roman"/>
          <w:color w:val="000000"/>
          <w:sz w:val="24"/>
          <w:szCs w:val="24"/>
          <w:lang w:val="kk-KZ"/>
        </w:rPr>
        <w:lastRenderedPageBreak/>
        <w:t xml:space="preserve">дүниежүзілік және өз тәжірибемізді, ұзақ мерзімді ағымдағы әлеуметтік-экономикалық жағдайда, оның күшті және әлсіз жақтарын әділ талдау, ішкі мүмкіндіктерді ұзақ мерзімді зерттеу негізінде еліміздің стратегиялық мақсаты айқындалған. Ол – «тәуелсіз, гүлденген, саяси тұрақты, өзіне тән ұлттық бірлігі, әлеуметтік әділеттігі, барлық тұрғындардың экономикалық әл-ауқаты сақталған Қазақстан құру». </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 xml:space="preserve">Еуразияның орталығында орналасқан, әсіресе энергетикалық ресурсы мол, ғылыми және шығармашылық әлеуеті жоғары Қазақстан Орталық Азияда Барыс денгейіне көтеріліп, басқа дамушы елдерге үлгі бола алады. </w:t>
      </w:r>
    </w:p>
    <w:p w:rsidR="00AA4CBA" w:rsidRPr="00AA4CBA" w:rsidRDefault="00AA4CBA" w:rsidP="00AA4CBA">
      <w:pPr>
        <w:ind w:firstLine="705"/>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Дамудың жоғары қарқынына жету жолдары мыналар болып табылады: еркін нарық (рынок), қатал қаржы саясаты, мемлекеттің нарықтық күштерге араласпауы, шетел инвестицияның, жаңа технология мен білімнің, қазіргі инфрақұрылым мен технологияның кеңінен енуі. Осыған сәйкес «Қазақстан - 2030»- да келесі үш онжылдықта жүзеге асырылатын 7 ұзақ мерзімді басымдық істкр қарастырылады:</w:t>
      </w:r>
    </w:p>
    <w:p w:rsidR="00AA4CBA" w:rsidRPr="00AA4CBA" w:rsidRDefault="00AA4CBA" w:rsidP="00AA4CBA">
      <w:pPr>
        <w:numPr>
          <w:ilvl w:val="0"/>
          <w:numId w:val="4"/>
        </w:numPr>
        <w:spacing w:after="0" w:line="240" w:lineRule="auto"/>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Ұлттық қауіпсіздік. Аумақтын тұтастығын толық сақтау жағдайында тәкелсіз, егемен мемлекет ретінде даму.</w:t>
      </w:r>
    </w:p>
    <w:p w:rsidR="00AA4CBA" w:rsidRPr="00AA4CBA" w:rsidRDefault="00AA4CBA" w:rsidP="00AA4CBA">
      <w:pPr>
        <w:numPr>
          <w:ilvl w:val="0"/>
          <w:numId w:val="4"/>
        </w:numPr>
        <w:spacing w:after="0" w:line="240" w:lineRule="auto"/>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Ішкі саяси тұрақтылық және қоғамның топтасуы.</w:t>
      </w:r>
    </w:p>
    <w:p w:rsidR="00AA4CBA" w:rsidRPr="00AA4CBA" w:rsidRDefault="00AA4CBA" w:rsidP="00AA4CBA">
      <w:pPr>
        <w:numPr>
          <w:ilvl w:val="0"/>
          <w:numId w:val="4"/>
        </w:numPr>
        <w:spacing w:after="0" w:line="240" w:lineRule="auto"/>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Экономиканы жоғары шетелдік инвестицияға және өз қаражатына сүйенген ашық экономикалық нарық негізінде дамыту. Экономиканың нақты, тұрақтыжәне әрқашан өсіп отыратын макроэкономикалық даму қарқынына қол жеткізу (инфляцияның төмендеуі, бюджет дефицитін азайту, ұлттық валютаның тұрақтылығы және жинақтың жоғары нормасы).</w:t>
      </w:r>
    </w:p>
    <w:p w:rsidR="00AA4CBA" w:rsidRPr="00AA4CBA" w:rsidRDefault="00AA4CBA" w:rsidP="00AA4CBA">
      <w:pPr>
        <w:numPr>
          <w:ilvl w:val="0"/>
          <w:numId w:val="4"/>
        </w:numPr>
        <w:spacing w:after="0" w:line="240" w:lineRule="auto"/>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Қазақстан азаматтарының денсаулығы, білімі және әл-ауқаты. Барлық қазақстандықтардың өмір сүру жағдайын, денсаулығын, экологиялық ортасын жақсартып отыру.</w:t>
      </w:r>
    </w:p>
    <w:p w:rsidR="00AA4CBA" w:rsidRPr="00AA4CBA" w:rsidRDefault="00AA4CBA" w:rsidP="00AA4CBA">
      <w:pPr>
        <w:numPr>
          <w:ilvl w:val="0"/>
          <w:numId w:val="4"/>
        </w:numPr>
        <w:spacing w:after="0" w:line="240" w:lineRule="auto"/>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Энергетикалық ресурстар. Қазақстанның энергетикалық ресурстарын тез өндіруді ұлғайту және мұнай мен газды сыртқа шығаруды тиімді пайдалану арқылы пайда табу, ол өз кезегінде экономикалық тұрақтылығына және халықтың жағдайының жақсаруына жол ашады.</w:t>
      </w:r>
    </w:p>
    <w:p w:rsidR="00AA4CBA" w:rsidRPr="00AA4CBA" w:rsidRDefault="00AA4CBA" w:rsidP="00AA4CBA">
      <w:pPr>
        <w:numPr>
          <w:ilvl w:val="0"/>
          <w:numId w:val="4"/>
        </w:numPr>
        <w:spacing w:after="0" w:line="240" w:lineRule="auto"/>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Инфрақұрылым, әсіресе көлік және байланыс салалары. Осы шешуші секторларды ұлттық қауіпсіздікті нығайтуға, саяси тұрақтылық пен экономикалық өрлеуге жәрдемдесетіндей дәрежеде дамыту.</w:t>
      </w:r>
    </w:p>
    <w:p w:rsidR="00AA4CBA" w:rsidRPr="00AA4CBA" w:rsidRDefault="00AA4CBA" w:rsidP="00AA4CBA">
      <w:pPr>
        <w:numPr>
          <w:ilvl w:val="0"/>
          <w:numId w:val="4"/>
        </w:numPr>
        <w:spacing w:after="0" w:line="240" w:lineRule="auto"/>
        <w:jc w:val="both"/>
        <w:rPr>
          <w:rFonts w:ascii="Times New Roman" w:hAnsi="Times New Roman" w:cs="Times New Roman"/>
          <w:color w:val="000000"/>
          <w:sz w:val="24"/>
          <w:szCs w:val="24"/>
          <w:lang w:val="kk-KZ"/>
        </w:rPr>
      </w:pPr>
      <w:r w:rsidRPr="00AA4CBA">
        <w:rPr>
          <w:rFonts w:ascii="Times New Roman" w:hAnsi="Times New Roman" w:cs="Times New Roman"/>
          <w:color w:val="000000"/>
          <w:sz w:val="24"/>
          <w:szCs w:val="24"/>
          <w:lang w:val="kk-KZ"/>
        </w:rPr>
        <w:t>Кәсіби мемлекет. Ісіне адал және қабілетті адамдардан үкімет құру, сыбайлас жемқорлыққа және қылмысқа қарсы батыл күрес жүргізу.</w:t>
      </w:r>
    </w:p>
    <w:p w:rsidR="00AA4CBA" w:rsidRPr="00AB1B92" w:rsidRDefault="00AA4CBA" w:rsidP="00AA4CBA">
      <w:pPr>
        <w:shd w:val="clear" w:color="auto" w:fill="FFFFFF"/>
        <w:autoSpaceDE w:val="0"/>
        <w:autoSpaceDN w:val="0"/>
        <w:adjustRightInd w:val="0"/>
        <w:jc w:val="both"/>
        <w:rPr>
          <w:rFonts w:ascii="Times New Roman" w:hAnsi="Times New Roman" w:cs="Times New Roman"/>
          <w:noProof/>
          <w:color w:val="000000"/>
          <w:sz w:val="24"/>
          <w:szCs w:val="24"/>
          <w:lang w:val="kk-KZ"/>
        </w:rPr>
      </w:pPr>
    </w:p>
    <w:p w:rsidR="00AA4CBA" w:rsidRPr="00AA4CBA" w:rsidRDefault="00AA4CBA" w:rsidP="00AA4CBA">
      <w:pPr>
        <w:ind w:left="360"/>
        <w:jc w:val="center"/>
        <w:rPr>
          <w:rFonts w:ascii="Times New Roman" w:hAnsi="Times New Roman" w:cs="Times New Roman"/>
          <w:b/>
          <w:sz w:val="24"/>
          <w:szCs w:val="24"/>
          <w:lang w:val="kk-KZ"/>
        </w:rPr>
      </w:pPr>
      <w:r w:rsidRPr="00AA4CBA">
        <w:rPr>
          <w:rFonts w:ascii="Times New Roman" w:hAnsi="Times New Roman" w:cs="Times New Roman"/>
          <w:b/>
          <w:sz w:val="24"/>
          <w:szCs w:val="24"/>
          <w:lang w:val="kk-KZ"/>
        </w:rPr>
        <w:t>Бақылау сұрақтары:</w:t>
      </w:r>
    </w:p>
    <w:p w:rsidR="00AA4CBA" w:rsidRPr="00AA4CBA" w:rsidRDefault="00AA4CBA" w:rsidP="00AA4CBA">
      <w:pPr>
        <w:ind w:left="360"/>
        <w:jc w:val="center"/>
        <w:rPr>
          <w:rFonts w:ascii="Times New Roman" w:hAnsi="Times New Roman" w:cs="Times New Roman"/>
          <w:sz w:val="24"/>
          <w:szCs w:val="24"/>
          <w:lang w:val="kk-KZ"/>
        </w:rPr>
      </w:pPr>
    </w:p>
    <w:p w:rsidR="00AA4CBA" w:rsidRPr="00AA4CBA" w:rsidRDefault="00AA4CBA" w:rsidP="00AA4CBA">
      <w:pPr>
        <w:numPr>
          <w:ilvl w:val="0"/>
          <w:numId w:val="3"/>
        </w:numPr>
        <w:spacing w:after="0" w:line="240" w:lineRule="auto"/>
        <w:jc w:val="both"/>
        <w:rPr>
          <w:rFonts w:ascii="Times New Roman" w:hAnsi="Times New Roman" w:cs="Times New Roman"/>
          <w:sz w:val="24"/>
          <w:szCs w:val="24"/>
          <w:lang w:val="kk-KZ"/>
        </w:rPr>
      </w:pPr>
      <w:r w:rsidRPr="00AA4CBA">
        <w:rPr>
          <w:rFonts w:ascii="Times New Roman" w:hAnsi="Times New Roman" w:cs="Times New Roman"/>
          <w:sz w:val="24"/>
          <w:szCs w:val="24"/>
          <w:lang w:val="kk-KZ"/>
        </w:rPr>
        <w:t>Жоспарлау мен болжаудың түрлері және типтері.</w:t>
      </w:r>
    </w:p>
    <w:p w:rsidR="00AA4CBA" w:rsidRPr="00AA4CBA" w:rsidRDefault="00AA4CBA" w:rsidP="00AA4CBA">
      <w:pPr>
        <w:numPr>
          <w:ilvl w:val="0"/>
          <w:numId w:val="3"/>
        </w:numPr>
        <w:spacing w:after="0" w:line="240" w:lineRule="auto"/>
        <w:jc w:val="both"/>
        <w:rPr>
          <w:rFonts w:ascii="Times New Roman" w:hAnsi="Times New Roman" w:cs="Times New Roman"/>
          <w:sz w:val="24"/>
          <w:szCs w:val="24"/>
          <w:lang w:val="kk-KZ"/>
        </w:rPr>
      </w:pPr>
      <w:r w:rsidRPr="00AA4CBA">
        <w:rPr>
          <w:rFonts w:ascii="Times New Roman" w:hAnsi="Times New Roman" w:cs="Times New Roman"/>
          <w:sz w:val="24"/>
          <w:szCs w:val="24"/>
          <w:lang w:val="kk-KZ"/>
        </w:rPr>
        <w:t>Жоспарлау жүйесі: мәні және мазмұны.</w:t>
      </w:r>
    </w:p>
    <w:p w:rsidR="00AA4CBA" w:rsidRPr="00AA4CBA" w:rsidRDefault="00AA4CBA" w:rsidP="00AA4CBA">
      <w:pPr>
        <w:numPr>
          <w:ilvl w:val="0"/>
          <w:numId w:val="3"/>
        </w:numPr>
        <w:spacing w:after="0" w:line="240" w:lineRule="auto"/>
        <w:jc w:val="both"/>
        <w:rPr>
          <w:rFonts w:ascii="Times New Roman" w:hAnsi="Times New Roman" w:cs="Times New Roman"/>
          <w:sz w:val="24"/>
          <w:szCs w:val="24"/>
          <w:lang w:val="kk-KZ"/>
        </w:rPr>
      </w:pPr>
      <w:r w:rsidRPr="00AA4CBA">
        <w:rPr>
          <w:rFonts w:ascii="Times New Roman" w:hAnsi="Times New Roman" w:cs="Times New Roman"/>
          <w:sz w:val="24"/>
          <w:szCs w:val="24"/>
          <w:lang w:val="kk-KZ"/>
        </w:rPr>
        <w:t>Жоспарлау әдістері.</w:t>
      </w:r>
    </w:p>
    <w:p w:rsidR="00AA4CBA" w:rsidRPr="00AA4CBA" w:rsidRDefault="00AA4CBA" w:rsidP="00AA4CBA">
      <w:pPr>
        <w:ind w:left="360"/>
        <w:jc w:val="center"/>
        <w:rPr>
          <w:rFonts w:ascii="Times New Roman" w:hAnsi="Times New Roman" w:cs="Times New Roman"/>
          <w:b/>
          <w:sz w:val="24"/>
          <w:szCs w:val="24"/>
          <w:lang w:val="kk-KZ"/>
        </w:rPr>
      </w:pPr>
      <w:r w:rsidRPr="00AA4CBA">
        <w:rPr>
          <w:rFonts w:ascii="Times New Roman" w:hAnsi="Times New Roman" w:cs="Times New Roman"/>
          <w:b/>
          <w:sz w:val="24"/>
          <w:szCs w:val="24"/>
          <w:lang w:val="kk-KZ"/>
        </w:rPr>
        <w:t>Әдебиеттер:</w:t>
      </w:r>
    </w:p>
    <w:p w:rsidR="00AA4CBA" w:rsidRPr="00AA4CBA" w:rsidRDefault="00AA4CBA" w:rsidP="00AA4CBA">
      <w:pPr>
        <w:ind w:left="360"/>
        <w:jc w:val="center"/>
        <w:rPr>
          <w:rFonts w:ascii="Times New Roman" w:hAnsi="Times New Roman" w:cs="Times New Roman"/>
          <w:sz w:val="24"/>
          <w:szCs w:val="24"/>
          <w:lang w:val="kk-KZ"/>
        </w:rPr>
      </w:pPr>
    </w:p>
    <w:p w:rsidR="00AA4CBA" w:rsidRPr="00AA4CBA" w:rsidRDefault="00AA4CBA" w:rsidP="00AA4CBA">
      <w:pPr>
        <w:ind w:left="360"/>
        <w:jc w:val="center"/>
        <w:rPr>
          <w:rFonts w:ascii="Times New Roman" w:hAnsi="Times New Roman" w:cs="Times New Roman"/>
          <w:sz w:val="24"/>
          <w:szCs w:val="24"/>
          <w:lang w:val="kk-KZ"/>
        </w:rPr>
      </w:pPr>
      <w:r w:rsidRPr="00AA4CBA">
        <w:rPr>
          <w:rFonts w:ascii="Times New Roman" w:hAnsi="Times New Roman" w:cs="Times New Roman"/>
          <w:sz w:val="24"/>
          <w:szCs w:val="24"/>
          <w:lang w:val="kk-KZ"/>
        </w:rPr>
        <w:t>2, 7 -20 бет.</w:t>
      </w:r>
    </w:p>
    <w:p w:rsidR="00A30693" w:rsidRPr="00AA4CBA" w:rsidRDefault="00A30693">
      <w:pPr>
        <w:rPr>
          <w:rFonts w:ascii="Times New Roman" w:hAnsi="Times New Roman" w:cs="Times New Roman"/>
          <w:sz w:val="24"/>
          <w:szCs w:val="24"/>
        </w:rPr>
      </w:pPr>
    </w:p>
    <w:sectPr w:rsidR="00A30693" w:rsidRPr="00AA4CBA" w:rsidSect="002A1E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474A9"/>
    <w:multiLevelType w:val="hybridMultilevel"/>
    <w:tmpl w:val="1D7C8962"/>
    <w:lvl w:ilvl="0" w:tplc="C97C27E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21F143F2"/>
    <w:multiLevelType w:val="hybridMultilevel"/>
    <w:tmpl w:val="77846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6AA64FD"/>
    <w:multiLevelType w:val="hybridMultilevel"/>
    <w:tmpl w:val="FD66FA3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5C420E08"/>
    <w:multiLevelType w:val="hybridMultilevel"/>
    <w:tmpl w:val="F61E8A3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6FAA213A"/>
    <w:multiLevelType w:val="hybridMultilevel"/>
    <w:tmpl w:val="F6B4DEE4"/>
    <w:lvl w:ilvl="0" w:tplc="1E8C5BB8">
      <w:start w:val="1"/>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A4CBA"/>
    <w:rsid w:val="002A1E7E"/>
    <w:rsid w:val="00441CA1"/>
    <w:rsid w:val="006103FA"/>
    <w:rsid w:val="00727FF6"/>
    <w:rsid w:val="00A30693"/>
    <w:rsid w:val="00AA4CBA"/>
    <w:rsid w:val="00AB1B92"/>
    <w:rsid w:val="00B6059E"/>
    <w:rsid w:val="00B70345"/>
    <w:rsid w:val="00BE77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E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4C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4C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1528</Words>
  <Characters>8713</Characters>
  <Application>Microsoft Office Word</Application>
  <DocSecurity>0</DocSecurity>
  <Lines>72</Lines>
  <Paragraphs>20</Paragraphs>
  <ScaleCrop>false</ScaleCrop>
  <Company/>
  <LinksUpToDate>false</LinksUpToDate>
  <CharactersWithSpaces>10221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2015-09-11T19:16:00Z</dcterms:created>
  <dcterms:modified xsi:type="dcterms:W3CDTF">2015-09-13T17:56:00Z</dcterms:modified>
</cp:coreProperties>
</file>